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94436" w14:textId="42AC468B" w:rsidR="00FA7D5D" w:rsidRDefault="00DF0EC1" w:rsidP="00FA7D5D">
      <w:pPr>
        <w:pStyle w:val="Title"/>
        <w:jc w:val="center"/>
      </w:pPr>
      <w:r w:rsidRPr="00DF0EC1">
        <w:t xml:space="preserve"> </w:t>
      </w:r>
      <w:r>
        <w:rPr>
          <w:noProof/>
        </w:rPr>
        <w:drawing>
          <wp:inline distT="0" distB="0" distL="0" distR="0" wp14:anchorId="6D61DACC" wp14:editId="1EF95A09">
            <wp:extent cx="1199692" cy="11996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044" cy="1237044"/>
                    </a:xfrm>
                    <a:prstGeom prst="rect">
                      <a:avLst/>
                    </a:prstGeom>
                    <a:noFill/>
                    <a:ln>
                      <a:noFill/>
                    </a:ln>
                  </pic:spPr>
                </pic:pic>
              </a:graphicData>
            </a:graphic>
          </wp:inline>
        </w:drawing>
      </w:r>
    </w:p>
    <w:p w14:paraId="4BEF70FD" w14:textId="1A09FD48" w:rsidR="004D3F7D" w:rsidRDefault="00005B35" w:rsidP="00E17C66">
      <w:pPr>
        <w:pStyle w:val="Title"/>
        <w:rPr>
          <w:sz w:val="48"/>
          <w:szCs w:val="48"/>
        </w:rPr>
      </w:pPr>
      <w:r w:rsidRPr="008E4553">
        <w:rPr>
          <w:sz w:val="48"/>
          <w:szCs w:val="48"/>
        </w:rPr>
        <w:t>Self</w:t>
      </w:r>
      <w:r w:rsidR="00DF0EC1">
        <w:rPr>
          <w:sz w:val="48"/>
          <w:szCs w:val="48"/>
        </w:rPr>
        <w:t>-</w:t>
      </w:r>
      <w:r w:rsidRPr="008E4553">
        <w:rPr>
          <w:sz w:val="48"/>
          <w:szCs w:val="48"/>
        </w:rPr>
        <w:t>Assessment</w:t>
      </w:r>
      <w:r w:rsidR="004D3F7D">
        <w:rPr>
          <w:sz w:val="48"/>
          <w:szCs w:val="48"/>
        </w:rPr>
        <w:t>; based on the 201</w:t>
      </w:r>
      <w:r w:rsidR="00D26AF8">
        <w:rPr>
          <w:sz w:val="48"/>
          <w:szCs w:val="48"/>
        </w:rPr>
        <w:t>8</w:t>
      </w:r>
      <w:r w:rsidR="004D3F7D">
        <w:rPr>
          <w:sz w:val="48"/>
          <w:szCs w:val="48"/>
        </w:rPr>
        <w:t xml:space="preserve"> Coding Certificate Competencies</w:t>
      </w:r>
      <w:r w:rsidR="00DF0EC1" w:rsidRPr="008E4553">
        <w:rPr>
          <w:sz w:val="48"/>
          <w:szCs w:val="48"/>
        </w:rPr>
        <w:t xml:space="preserve"> </w:t>
      </w:r>
    </w:p>
    <w:p w14:paraId="65AAB3C4" w14:textId="5BF2B406" w:rsidR="00005B35" w:rsidRPr="008E4553" w:rsidRDefault="004D3F7D" w:rsidP="00E17C66">
      <w:pPr>
        <w:pStyle w:val="Title"/>
        <w:rPr>
          <w:sz w:val="48"/>
          <w:szCs w:val="48"/>
        </w:rPr>
      </w:pPr>
      <w:r>
        <w:rPr>
          <w:sz w:val="48"/>
          <w:szCs w:val="48"/>
        </w:rPr>
        <w:t xml:space="preserve">under the AHIMA </w:t>
      </w:r>
      <w:r w:rsidR="00DF0EC1" w:rsidRPr="008E4553">
        <w:rPr>
          <w:sz w:val="48"/>
          <w:szCs w:val="48"/>
        </w:rPr>
        <w:t>Professional Certificate Approval Program (PCAP)</w:t>
      </w:r>
    </w:p>
    <w:p w14:paraId="60BF5279" w14:textId="2A6F338E" w:rsidR="001502DD" w:rsidRDefault="00443B9F" w:rsidP="00BA0F28">
      <w:pPr>
        <w:rPr>
          <w:b/>
          <w:i/>
        </w:rPr>
      </w:pPr>
      <w:r w:rsidRPr="00BA0F28">
        <w:rPr>
          <w:b/>
          <w:i/>
        </w:rPr>
        <w:t xml:space="preserve">This document includes </w:t>
      </w:r>
      <w:r w:rsidR="004D3F7D">
        <w:rPr>
          <w:b/>
          <w:color w:val="FF0000"/>
          <w:u w:val="single"/>
        </w:rPr>
        <w:t xml:space="preserve">one </w:t>
      </w:r>
      <w:r w:rsidR="002520D4" w:rsidRPr="009F4E6A">
        <w:rPr>
          <w:b/>
          <w:color w:val="FF0000"/>
          <w:u w:val="single"/>
        </w:rPr>
        <w:t>example</w:t>
      </w:r>
      <w:r w:rsidR="00E17C66">
        <w:rPr>
          <w:b/>
          <w:i/>
        </w:rPr>
        <w:t xml:space="preserve"> of how to assess a single student learning outcome </w:t>
      </w:r>
      <w:r w:rsidR="004D3F7D">
        <w:rPr>
          <w:b/>
          <w:i/>
        </w:rPr>
        <w:t xml:space="preserve">(curricula competency) </w:t>
      </w:r>
      <w:r w:rsidR="00E17C66">
        <w:rPr>
          <w:b/>
          <w:i/>
        </w:rPr>
        <w:t xml:space="preserve">in </w:t>
      </w:r>
      <w:r w:rsidR="002520D4" w:rsidRPr="00BA0F28">
        <w:rPr>
          <w:b/>
          <w:i/>
        </w:rPr>
        <w:t xml:space="preserve">each domain </w:t>
      </w:r>
      <w:r w:rsidR="00C62355">
        <w:rPr>
          <w:b/>
          <w:i/>
        </w:rPr>
        <w:t xml:space="preserve">covered </w:t>
      </w:r>
      <w:r w:rsidR="004D3F7D">
        <w:rPr>
          <w:b/>
          <w:i/>
        </w:rPr>
        <w:t>under the 201</w:t>
      </w:r>
      <w:r w:rsidR="00013E0D">
        <w:rPr>
          <w:b/>
          <w:i/>
        </w:rPr>
        <w:t>8</w:t>
      </w:r>
      <w:r w:rsidR="004D3F7D">
        <w:rPr>
          <w:b/>
          <w:i/>
        </w:rPr>
        <w:t xml:space="preserve"> </w:t>
      </w:r>
      <w:r w:rsidR="00C62355">
        <w:rPr>
          <w:b/>
          <w:i/>
        </w:rPr>
        <w:t>PCAP C</w:t>
      </w:r>
      <w:r w:rsidR="00ED0D63">
        <w:rPr>
          <w:b/>
          <w:i/>
        </w:rPr>
        <w:t xml:space="preserve">oding Certificate </w:t>
      </w:r>
      <w:r w:rsidR="00C62355">
        <w:rPr>
          <w:b/>
          <w:i/>
        </w:rPr>
        <w:t>Competencies</w:t>
      </w:r>
      <w:r w:rsidR="00E17C66">
        <w:rPr>
          <w:b/>
          <w:i/>
        </w:rPr>
        <w:t xml:space="preserve">. Every </w:t>
      </w:r>
      <w:r w:rsidRPr="00BA0F28">
        <w:rPr>
          <w:b/>
          <w:i/>
        </w:rPr>
        <w:t xml:space="preserve">program should </w:t>
      </w:r>
      <w:r w:rsidR="004D3F7D">
        <w:rPr>
          <w:b/>
          <w:i/>
        </w:rPr>
        <w:t>insert additional rows into this document, add the remaining 201</w:t>
      </w:r>
      <w:r w:rsidR="00D26AF8">
        <w:rPr>
          <w:b/>
          <w:i/>
        </w:rPr>
        <w:t>8</w:t>
      </w:r>
      <w:r w:rsidR="004D3F7D">
        <w:rPr>
          <w:b/>
          <w:i/>
        </w:rPr>
        <w:t xml:space="preserve"> PCAP Coding Certificate Competencies, and then </w:t>
      </w:r>
      <w:r w:rsidRPr="00BA0F28">
        <w:rPr>
          <w:b/>
          <w:i/>
        </w:rPr>
        <w:t xml:space="preserve">conduct a full assessment </w:t>
      </w:r>
      <w:r w:rsidR="00E17C66">
        <w:rPr>
          <w:b/>
          <w:i/>
        </w:rPr>
        <w:t xml:space="preserve">to outline how each student learning outcome is achieved for the entire </w:t>
      </w:r>
      <w:r w:rsidR="00C62355">
        <w:rPr>
          <w:b/>
          <w:i/>
        </w:rPr>
        <w:t>set of curricula competencies</w:t>
      </w:r>
      <w:r w:rsidR="004D3F7D">
        <w:rPr>
          <w:b/>
          <w:i/>
        </w:rPr>
        <w:t xml:space="preserve"> in your medical coding certificate program</w:t>
      </w:r>
      <w:r w:rsidR="00E17C66">
        <w:rPr>
          <w:b/>
          <w:i/>
        </w:rPr>
        <w:t>. When completing this document, each program should</w:t>
      </w:r>
      <w:r w:rsidRPr="00BA0F28">
        <w:rPr>
          <w:b/>
          <w:i/>
        </w:rPr>
        <w:t xml:space="preserve"> </w:t>
      </w:r>
      <w:r w:rsidR="00E17C66">
        <w:rPr>
          <w:b/>
          <w:i/>
        </w:rPr>
        <w:t xml:space="preserve">have </w:t>
      </w:r>
      <w:r w:rsidRPr="00BA0F28">
        <w:rPr>
          <w:b/>
          <w:i/>
        </w:rPr>
        <w:t xml:space="preserve">at least one </w:t>
      </w:r>
      <w:r w:rsidR="009F3814" w:rsidRPr="00BA0F28">
        <w:rPr>
          <w:b/>
          <w:i/>
        </w:rPr>
        <w:t xml:space="preserve">example for every student learning outcome </w:t>
      </w:r>
      <w:r w:rsidR="00ED0D63">
        <w:rPr>
          <w:b/>
          <w:i/>
        </w:rPr>
        <w:t xml:space="preserve">within the relevant </w:t>
      </w:r>
      <w:r w:rsidR="009F3814" w:rsidRPr="00BA0F28">
        <w:rPr>
          <w:b/>
          <w:i/>
        </w:rPr>
        <w:t>domain</w:t>
      </w:r>
      <w:r w:rsidR="00ED0D63">
        <w:rPr>
          <w:b/>
          <w:i/>
        </w:rPr>
        <w:t>s</w:t>
      </w:r>
      <w:r w:rsidR="00357970">
        <w:rPr>
          <w:b/>
          <w:i/>
        </w:rPr>
        <w:t xml:space="preserve">. The goal of this </w:t>
      </w:r>
      <w:r w:rsidR="004D3F7D">
        <w:rPr>
          <w:b/>
          <w:i/>
        </w:rPr>
        <w:t>Self-A</w:t>
      </w:r>
      <w:r w:rsidR="00357970">
        <w:rPr>
          <w:b/>
          <w:i/>
        </w:rPr>
        <w:t xml:space="preserve">ssessment is </w:t>
      </w:r>
      <w:r w:rsidR="00212F33">
        <w:rPr>
          <w:b/>
          <w:i/>
        </w:rPr>
        <w:t>to promote</w:t>
      </w:r>
      <w:r w:rsidR="00357970">
        <w:rPr>
          <w:b/>
          <w:i/>
        </w:rPr>
        <w:t xml:space="preserve"> alignment, reduce redundancy across courses and ensure content is being addressed at the appropriate Bloom’s Taxonomy level.</w:t>
      </w:r>
    </w:p>
    <w:p w14:paraId="26CBD7DB" w14:textId="77777777" w:rsidR="00E17C66" w:rsidRDefault="00E17C66" w:rsidP="008C3ABB">
      <w:pPr>
        <w:pStyle w:val="Heading2"/>
        <w:jc w:val="center"/>
      </w:pPr>
      <w:r>
        <w:t>Glossary of</w:t>
      </w:r>
      <w:r w:rsidRPr="00E17C66">
        <w:t xml:space="preserve"> Terms</w:t>
      </w:r>
    </w:p>
    <w:p w14:paraId="7524B59C" w14:textId="77777777" w:rsidR="00884206" w:rsidRDefault="00884206" w:rsidP="00884206">
      <w:r w:rsidRPr="001753F2">
        <w:rPr>
          <w:b/>
        </w:rPr>
        <w:t>Assessment Methods</w:t>
      </w:r>
      <w:r>
        <w:t>:  How is the pr</w:t>
      </w:r>
      <w:r w:rsidR="00C62355">
        <w:t xml:space="preserve">ogram teaching that objective/Student Learning </w:t>
      </w:r>
      <w:r>
        <w:t>O</w:t>
      </w:r>
      <w:r w:rsidR="00C62355">
        <w:t>utcome</w:t>
      </w:r>
      <w:r>
        <w:t>?</w:t>
      </w:r>
      <w:r w:rsidRPr="001753F2">
        <w:t xml:space="preserve"> </w:t>
      </w:r>
      <w:r>
        <w:t>How do you ensure the student is learning the concept (what kinds of tasks will reveal the students have achieved the learning outcome)?</w:t>
      </w:r>
      <w:r w:rsidR="00C62355">
        <w:t xml:space="preserve"> </w:t>
      </w:r>
    </w:p>
    <w:p w14:paraId="3AD14AC1" w14:textId="00208324" w:rsidR="00581F69" w:rsidRPr="00120CE2" w:rsidRDefault="00884206" w:rsidP="00120CE2">
      <w:pPr>
        <w:rPr>
          <w:bCs/>
        </w:rPr>
      </w:pPr>
      <w:r w:rsidRPr="008C3ABB">
        <w:rPr>
          <w:b/>
        </w:rPr>
        <w:t>Bloom’s Taxonomy</w:t>
      </w:r>
      <w:r w:rsidR="008C3ABB">
        <w:rPr>
          <w:b/>
        </w:rPr>
        <w:t>:</w:t>
      </w:r>
      <w:r w:rsidR="008C3ABB" w:rsidRPr="00120CE2">
        <w:rPr>
          <w:b/>
        </w:rPr>
        <w:t xml:space="preserve"> </w:t>
      </w:r>
      <w:r w:rsidR="008C3ABB" w:rsidRPr="00120CE2">
        <w:rPr>
          <w:bCs/>
        </w:rPr>
        <w:t>Bloom’s Taxonomy levels are used to measure how well a student is expected to master a concept.  Bloom’s Taxonomy is a classification system that divides the way people learn into three domains: 1.</w:t>
      </w:r>
      <w:r w:rsidR="00E20757" w:rsidRPr="00120CE2">
        <w:rPr>
          <w:bCs/>
        </w:rPr>
        <w:t xml:space="preserve"> </w:t>
      </w:r>
      <w:r w:rsidR="008C3ABB" w:rsidRPr="00120CE2">
        <w:rPr>
          <w:bCs/>
        </w:rPr>
        <w:t>cognitive (intellectual outcomes, mental skills), 2.</w:t>
      </w:r>
      <w:r w:rsidR="00E20757" w:rsidRPr="00120CE2">
        <w:rPr>
          <w:bCs/>
        </w:rPr>
        <w:t xml:space="preserve"> </w:t>
      </w:r>
      <w:r w:rsidR="008C3ABB" w:rsidRPr="00120CE2">
        <w:rPr>
          <w:bCs/>
        </w:rPr>
        <w:t>affective (growth in feelings or emotional areas), and 3.</w:t>
      </w:r>
      <w:r w:rsidR="00E20757" w:rsidRPr="00120CE2">
        <w:rPr>
          <w:bCs/>
        </w:rPr>
        <w:t xml:space="preserve"> </w:t>
      </w:r>
      <w:r w:rsidR="008C3ABB" w:rsidRPr="00120CE2">
        <w:rPr>
          <w:bCs/>
        </w:rPr>
        <w:t xml:space="preserve">psychomotor (manual or physical skills). </w:t>
      </w:r>
      <w:r w:rsidR="00077AAC" w:rsidRPr="00120CE2">
        <w:rPr>
          <w:bCs/>
        </w:rPr>
        <w:t>Bloom’s cognitive domain serves as the measurement scale for the student learning outcomes included in the curricula.</w:t>
      </w:r>
    </w:p>
    <w:p w14:paraId="7CAAF999" w14:textId="7A53B791" w:rsidR="00A01C1C" w:rsidRPr="00120CE2" w:rsidRDefault="00A01C1C" w:rsidP="00BA0F28">
      <w:pPr>
        <w:rPr>
          <w:b/>
        </w:rPr>
      </w:pPr>
      <w:r>
        <w:rPr>
          <w:b/>
        </w:rPr>
        <w:t>Domain</w:t>
      </w:r>
      <w:r w:rsidR="009E0453">
        <w:rPr>
          <w:b/>
        </w:rPr>
        <w:t>:</w:t>
      </w:r>
      <w:r w:rsidR="008C3ABB">
        <w:rPr>
          <w:b/>
        </w:rPr>
        <w:t xml:space="preserve"> </w:t>
      </w:r>
      <w:r w:rsidR="008C3ABB">
        <w:t>A broad category of related content.</w:t>
      </w:r>
      <w:r w:rsidR="00432E8C">
        <w:t xml:space="preserve"> </w:t>
      </w:r>
      <w:r w:rsidR="00077AAC">
        <w:t>The Domains specify the HIM body of knowledge and practice.</w:t>
      </w:r>
    </w:p>
    <w:p w14:paraId="46365DEA" w14:textId="5077A1E0" w:rsidR="00884206" w:rsidRDefault="00884206" w:rsidP="00884206">
      <w:r w:rsidRPr="00E17C66">
        <w:rPr>
          <w:b/>
        </w:rPr>
        <w:t>Objectiv</w:t>
      </w:r>
      <w:r>
        <w:rPr>
          <w:b/>
        </w:rPr>
        <w:t>e:</w:t>
      </w:r>
      <w:r>
        <w:t xml:space="preserve"> What is the student going to learn? This must be </w:t>
      </w:r>
      <w:r w:rsidR="00432E8C">
        <w:t xml:space="preserve">written </w:t>
      </w:r>
      <w:bookmarkStart w:id="0" w:name="_GoBack"/>
      <w:bookmarkEnd w:id="0"/>
      <w:r w:rsidR="00432E8C">
        <w:t xml:space="preserve">in </w:t>
      </w:r>
      <w:r>
        <w:t xml:space="preserve">measurable </w:t>
      </w:r>
      <w:r w:rsidR="00432E8C">
        <w:t>terms</w:t>
      </w:r>
      <w:r w:rsidR="00077AAC">
        <w:t xml:space="preserve">, </w:t>
      </w:r>
      <w:r>
        <w:t>quantitatively or qualitatively (rubric, number of correct, etc.)</w:t>
      </w:r>
    </w:p>
    <w:p w14:paraId="2EBDB340" w14:textId="42AD7EFA" w:rsidR="00BA6C90" w:rsidRDefault="002E3E3C">
      <w:r w:rsidRPr="00E17C66">
        <w:rPr>
          <w:b/>
        </w:rPr>
        <w:t>Student Learning Outcome</w:t>
      </w:r>
      <w:r>
        <w:t xml:space="preserve">:  </w:t>
      </w:r>
      <w:r w:rsidR="008C3ABB" w:rsidRPr="008C3ABB">
        <w:t>A behavior; what the learner will be able to do;</w:t>
      </w:r>
      <w:r w:rsidR="008C3ABB">
        <w:t xml:space="preserve"> a condition -</w:t>
      </w:r>
      <w:r w:rsidR="008C3ABB" w:rsidRPr="008C3ABB">
        <w:t xml:space="preserve"> how will the learner be able to do it. It should be measurable</w:t>
      </w:r>
      <w:r w:rsidR="00077AAC">
        <w:t xml:space="preserve"> at a minimally acceptable standard </w:t>
      </w:r>
      <w:r w:rsidR="008C3ABB" w:rsidRPr="008C3ABB">
        <w:t>and demonstrate how well the learner is able to do the task.</w:t>
      </w:r>
      <w:r w:rsidR="008C3ABB">
        <w:rPr>
          <w:rFonts w:hAnsi="Calibri"/>
          <w:color w:val="000000" w:themeColor="text1"/>
          <w:kern w:val="24"/>
          <w:sz w:val="24"/>
          <w:szCs w:val="24"/>
        </w:rPr>
        <w:t xml:space="preserve"> </w:t>
      </w:r>
      <w:r w:rsidR="006730B4">
        <w:t>Measurement of success is through assessment of</w:t>
      </w:r>
      <w:r w:rsidR="00F5391B">
        <w:t xml:space="preserve"> achievement of</w:t>
      </w:r>
      <w:r w:rsidR="006730B4">
        <w:t xml:space="preserve"> the</w:t>
      </w:r>
      <w:r w:rsidR="009F3814">
        <w:t xml:space="preserve"> stated</w:t>
      </w:r>
      <w:r w:rsidR="006730B4">
        <w:t xml:space="preserve"> student learning outcome</w:t>
      </w:r>
      <w:r w:rsidR="009F3814">
        <w:t xml:space="preserve">. </w:t>
      </w:r>
      <w:r w:rsidR="00E17C66">
        <w:t xml:space="preserve">Additional resources on aligning student learning outcomes and objectives can be found at: </w:t>
      </w:r>
      <w:hyperlink r:id="rId11" w:history="1">
        <w:r w:rsidR="009F3814">
          <w:rPr>
            <w:rStyle w:val="Hyperlink"/>
            <w:rFonts w:ascii="Arial" w:hAnsi="Arial" w:cs="Arial"/>
            <w:sz w:val="20"/>
            <w:szCs w:val="20"/>
          </w:rPr>
          <w:t>http://www.cmu.edu/teaching/assessment/howto/basics/objectives.html</w:t>
        </w:r>
      </w:hyperlink>
    </w:p>
    <w:p w14:paraId="3E925E8A" w14:textId="28E7EB33" w:rsidR="008C3ABB" w:rsidRDefault="008C3ABB" w:rsidP="00077AAC">
      <w:pPr>
        <w:pStyle w:val="Heading2"/>
        <w:jc w:val="center"/>
      </w:pPr>
    </w:p>
    <w:tbl>
      <w:tblPr>
        <w:tblStyle w:val="TableGrid"/>
        <w:tblW w:w="0" w:type="auto"/>
        <w:tblLayout w:type="fixed"/>
        <w:tblLook w:val="04A0" w:firstRow="1" w:lastRow="0" w:firstColumn="1" w:lastColumn="0" w:noHBand="0" w:noVBand="1"/>
      </w:tblPr>
      <w:tblGrid>
        <w:gridCol w:w="1548"/>
        <w:gridCol w:w="2917"/>
        <w:gridCol w:w="2679"/>
        <w:gridCol w:w="3044"/>
        <w:gridCol w:w="2188"/>
        <w:gridCol w:w="2528"/>
      </w:tblGrid>
      <w:tr w:rsidR="00CA5FFE" w14:paraId="2EE8FB04" w14:textId="77777777" w:rsidTr="00107C5D">
        <w:trPr>
          <w:tblHeader/>
        </w:trPr>
        <w:tc>
          <w:tcPr>
            <w:tcW w:w="14904" w:type="dxa"/>
            <w:gridSpan w:val="6"/>
            <w:tcBorders>
              <w:bottom w:val="single" w:sz="4" w:space="0" w:color="auto"/>
            </w:tcBorders>
            <w:shd w:val="clear" w:color="auto" w:fill="F2F2F2" w:themeFill="background1" w:themeFillShade="F2"/>
          </w:tcPr>
          <w:p w14:paraId="189889BE" w14:textId="35044768" w:rsidR="00CA5FFE" w:rsidRPr="00EC67A6" w:rsidRDefault="00CA5FFE" w:rsidP="00EC67A6">
            <w:pPr>
              <w:jc w:val="center"/>
              <w:rPr>
                <w:rFonts w:ascii="Cambria" w:hAnsi="Cambria"/>
                <w:b/>
                <w:bCs/>
                <w:color w:val="4F81BD" w:themeColor="accent1"/>
                <w:sz w:val="28"/>
                <w:szCs w:val="28"/>
              </w:rPr>
            </w:pPr>
            <w:r w:rsidRPr="00EC67A6">
              <w:rPr>
                <w:rFonts w:ascii="Cambria" w:hAnsi="Cambria"/>
                <w:b/>
                <w:bCs/>
                <w:color w:val="4F81BD" w:themeColor="accent1"/>
                <w:sz w:val="28"/>
                <w:szCs w:val="28"/>
              </w:rPr>
              <w:t>Program Self-Assessment</w:t>
            </w:r>
          </w:p>
        </w:tc>
      </w:tr>
      <w:tr w:rsidR="00884206" w14:paraId="15799624" w14:textId="77777777" w:rsidTr="00EC67A6">
        <w:trPr>
          <w:tblHeader/>
        </w:trPr>
        <w:tc>
          <w:tcPr>
            <w:tcW w:w="1548" w:type="dxa"/>
            <w:tcBorders>
              <w:bottom w:val="single" w:sz="4" w:space="0" w:color="auto"/>
            </w:tcBorders>
            <w:shd w:val="clear" w:color="auto" w:fill="F2F2F2" w:themeFill="background1" w:themeFillShade="F2"/>
          </w:tcPr>
          <w:p w14:paraId="1041A821" w14:textId="299DECCE" w:rsidR="00884206" w:rsidRPr="00EC67A6" w:rsidRDefault="00D26AF8" w:rsidP="004B5CB8">
            <w:pPr>
              <w:rPr>
                <w:b/>
                <w:bCs/>
              </w:rPr>
            </w:pPr>
            <w:r>
              <w:rPr>
                <w:b/>
                <w:bCs/>
              </w:rPr>
              <w:t xml:space="preserve">2018 </w:t>
            </w:r>
            <w:r w:rsidR="00884206" w:rsidRPr="00EC67A6">
              <w:rPr>
                <w:b/>
                <w:bCs/>
              </w:rPr>
              <w:t>Domain</w:t>
            </w:r>
            <w:r>
              <w:rPr>
                <w:b/>
                <w:bCs/>
              </w:rPr>
              <w:t>s</w:t>
            </w:r>
          </w:p>
          <w:p w14:paraId="41DBC537" w14:textId="77777777" w:rsidR="00884206" w:rsidRDefault="00884206" w:rsidP="004B5CB8"/>
        </w:tc>
        <w:tc>
          <w:tcPr>
            <w:tcW w:w="2917" w:type="dxa"/>
            <w:tcBorders>
              <w:bottom w:val="single" w:sz="4" w:space="0" w:color="auto"/>
            </w:tcBorders>
            <w:shd w:val="clear" w:color="auto" w:fill="F2F2F2" w:themeFill="background1" w:themeFillShade="F2"/>
          </w:tcPr>
          <w:p w14:paraId="065AB9A7" w14:textId="724560B8" w:rsidR="00884206" w:rsidRPr="00EC67A6" w:rsidRDefault="00884206">
            <w:pPr>
              <w:rPr>
                <w:sz w:val="20"/>
                <w:szCs w:val="20"/>
              </w:rPr>
            </w:pPr>
            <w:r w:rsidRPr="00EC67A6">
              <w:rPr>
                <w:b/>
                <w:bCs/>
              </w:rPr>
              <w:t>Student Learning Outcome</w:t>
            </w:r>
            <w:r w:rsidR="00ED0D63" w:rsidRPr="00EC67A6">
              <w:rPr>
                <w:b/>
                <w:bCs/>
              </w:rPr>
              <w:t xml:space="preserve"> example </w:t>
            </w:r>
            <w:r w:rsidRPr="00EC67A6">
              <w:rPr>
                <w:sz w:val="20"/>
                <w:szCs w:val="20"/>
              </w:rPr>
              <w:t>(</w:t>
            </w:r>
            <w:r w:rsidR="00ED0D63" w:rsidRPr="00EC67A6">
              <w:rPr>
                <w:sz w:val="20"/>
                <w:szCs w:val="20"/>
              </w:rPr>
              <w:t xml:space="preserve">the desired </w:t>
            </w:r>
            <w:r w:rsidRPr="00EC67A6">
              <w:rPr>
                <w:sz w:val="20"/>
                <w:szCs w:val="20"/>
              </w:rPr>
              <w:t>Bloom’s</w:t>
            </w:r>
            <w:r w:rsidR="008C3ABB" w:rsidRPr="00EC67A6">
              <w:rPr>
                <w:sz w:val="20"/>
                <w:szCs w:val="20"/>
              </w:rPr>
              <w:t xml:space="preserve"> Taxonomy</w:t>
            </w:r>
            <w:r w:rsidR="00ED0D63">
              <w:rPr>
                <w:sz w:val="20"/>
                <w:szCs w:val="20"/>
              </w:rPr>
              <w:t xml:space="preserve"> </w:t>
            </w:r>
            <w:r w:rsidRPr="00EC67A6">
              <w:rPr>
                <w:sz w:val="20"/>
                <w:szCs w:val="20"/>
              </w:rPr>
              <w:t xml:space="preserve">Level </w:t>
            </w:r>
            <w:r w:rsidR="00ED0D63" w:rsidRPr="00EC67A6">
              <w:rPr>
                <w:sz w:val="20"/>
                <w:szCs w:val="20"/>
              </w:rPr>
              <w:t xml:space="preserve">is listed in parentheses </w:t>
            </w:r>
            <w:r w:rsidRPr="00EC67A6">
              <w:rPr>
                <w:sz w:val="20"/>
                <w:szCs w:val="20"/>
              </w:rPr>
              <w:t>follow</w:t>
            </w:r>
            <w:r w:rsidR="00ED0D63" w:rsidRPr="00EC67A6">
              <w:rPr>
                <w:sz w:val="20"/>
                <w:szCs w:val="20"/>
              </w:rPr>
              <w:t>ing</w:t>
            </w:r>
            <w:r w:rsidRPr="00EC67A6">
              <w:rPr>
                <w:sz w:val="20"/>
                <w:szCs w:val="20"/>
              </w:rPr>
              <w:t xml:space="preserve"> the student learning outcome)</w:t>
            </w:r>
          </w:p>
        </w:tc>
        <w:tc>
          <w:tcPr>
            <w:tcW w:w="2679" w:type="dxa"/>
            <w:tcBorders>
              <w:bottom w:val="single" w:sz="4" w:space="0" w:color="auto"/>
            </w:tcBorders>
            <w:shd w:val="clear" w:color="auto" w:fill="F2F2F2" w:themeFill="background1" w:themeFillShade="F2"/>
          </w:tcPr>
          <w:p w14:paraId="6190E733" w14:textId="77777777" w:rsidR="00884206" w:rsidRPr="00EC67A6" w:rsidRDefault="00884206" w:rsidP="004B5CB8">
            <w:pPr>
              <w:rPr>
                <w:b/>
                <w:bCs/>
              </w:rPr>
            </w:pPr>
            <w:r w:rsidRPr="00EC67A6">
              <w:rPr>
                <w:b/>
                <w:bCs/>
              </w:rPr>
              <w:t>Objectives:</w:t>
            </w:r>
          </w:p>
          <w:p w14:paraId="0F027DD3" w14:textId="77777777" w:rsidR="00884206" w:rsidRDefault="00884206" w:rsidP="00582069"/>
        </w:tc>
        <w:tc>
          <w:tcPr>
            <w:tcW w:w="3044" w:type="dxa"/>
            <w:tcBorders>
              <w:bottom w:val="single" w:sz="4" w:space="0" w:color="auto"/>
            </w:tcBorders>
            <w:shd w:val="clear" w:color="auto" w:fill="F2F2F2" w:themeFill="background1" w:themeFillShade="F2"/>
          </w:tcPr>
          <w:p w14:paraId="6DA1C983" w14:textId="2A423BC6" w:rsidR="00884206" w:rsidRDefault="00884206" w:rsidP="004B5CB8">
            <w:r w:rsidRPr="00EC67A6">
              <w:rPr>
                <w:b/>
                <w:bCs/>
              </w:rPr>
              <w:t>Assessment Methods</w:t>
            </w:r>
            <w:r>
              <w:t xml:space="preserve"> (</w:t>
            </w:r>
            <w:r w:rsidRPr="00884206">
              <w:rPr>
                <w:i/>
              </w:rPr>
              <w:t>Are they Measurable</w:t>
            </w:r>
            <w:r>
              <w:t>)?</w:t>
            </w:r>
          </w:p>
          <w:p w14:paraId="72BC99D4" w14:textId="77777777" w:rsidR="00884206" w:rsidRDefault="00884206" w:rsidP="004B5CB8"/>
        </w:tc>
        <w:tc>
          <w:tcPr>
            <w:tcW w:w="2188" w:type="dxa"/>
            <w:tcBorders>
              <w:bottom w:val="single" w:sz="4" w:space="0" w:color="auto"/>
            </w:tcBorders>
            <w:shd w:val="clear" w:color="auto" w:fill="F2F2F2" w:themeFill="background1" w:themeFillShade="F2"/>
          </w:tcPr>
          <w:p w14:paraId="486641F1" w14:textId="46CB9D53" w:rsidR="00884206" w:rsidRDefault="003772A6" w:rsidP="00E17C66">
            <w:r>
              <w:t>Are Objectives in Syllabus/Course Numbers</w:t>
            </w:r>
            <w:r w:rsidR="00ED0D63">
              <w:t>?</w:t>
            </w:r>
          </w:p>
        </w:tc>
        <w:tc>
          <w:tcPr>
            <w:tcW w:w="2528" w:type="dxa"/>
            <w:tcBorders>
              <w:bottom w:val="single" w:sz="4" w:space="0" w:color="auto"/>
            </w:tcBorders>
            <w:shd w:val="clear" w:color="auto" w:fill="F2F2F2" w:themeFill="background1" w:themeFillShade="F2"/>
          </w:tcPr>
          <w:p w14:paraId="15FC91FF" w14:textId="77777777" w:rsidR="00884206" w:rsidRDefault="00884206" w:rsidP="004B5CB8">
            <w:r>
              <w:t xml:space="preserve">Notes </w:t>
            </w:r>
          </w:p>
        </w:tc>
      </w:tr>
      <w:tr w:rsidR="00884206" w14:paraId="123AD7C3" w14:textId="77777777" w:rsidTr="001A78EF">
        <w:tc>
          <w:tcPr>
            <w:tcW w:w="1548" w:type="dxa"/>
          </w:tcPr>
          <w:p w14:paraId="7DA2C487" w14:textId="0F833443" w:rsidR="00884206" w:rsidRDefault="00B47009" w:rsidP="004B5CB8">
            <w:r>
              <w:t xml:space="preserve">I. Data </w:t>
            </w:r>
            <w:r w:rsidR="00D3369F">
              <w:t xml:space="preserve">Structure, </w:t>
            </w:r>
            <w:r>
              <w:t>Content</w:t>
            </w:r>
            <w:r w:rsidR="00D3369F">
              <w:t xml:space="preserve"> and </w:t>
            </w:r>
            <w:r>
              <w:t>Information Governance</w:t>
            </w:r>
          </w:p>
        </w:tc>
        <w:tc>
          <w:tcPr>
            <w:tcW w:w="2917" w:type="dxa"/>
          </w:tcPr>
          <w:p w14:paraId="685A6893" w14:textId="3778A5DD" w:rsidR="00884206" w:rsidRDefault="00D3369F">
            <w:r w:rsidRPr="00D3369F">
              <w:t>I.1. Describe health care organizations from the perspective of</w:t>
            </w:r>
            <w:r>
              <w:t xml:space="preserve"> </w:t>
            </w:r>
            <w:r w:rsidRPr="00D3369F">
              <w:t>key stakeholders.</w:t>
            </w:r>
            <w:r>
              <w:t xml:space="preserve"> (2)</w:t>
            </w:r>
          </w:p>
        </w:tc>
        <w:tc>
          <w:tcPr>
            <w:tcW w:w="2679" w:type="dxa"/>
          </w:tcPr>
          <w:p w14:paraId="6F6AC137" w14:textId="05CC3D12" w:rsidR="00884206" w:rsidRDefault="00884206">
            <w:r>
              <w:t xml:space="preserve">Student will be able to </w:t>
            </w:r>
            <w:r w:rsidR="00D3369F">
              <w:t>describe aspects of various healthcare organizations (acute care hospitals, urgent care centers, sole and group physician practices, nursing homes, etc.) from the perspective of key stakeholders (provider, patient, staff, volunteer, executive, family, etc.)</w:t>
            </w:r>
            <w:r>
              <w:t xml:space="preserve">. </w:t>
            </w:r>
          </w:p>
        </w:tc>
        <w:tc>
          <w:tcPr>
            <w:tcW w:w="3044" w:type="dxa"/>
          </w:tcPr>
          <w:p w14:paraId="62CC91B7" w14:textId="4DB259F3" w:rsidR="00884206" w:rsidRDefault="00884206">
            <w:pPr>
              <w:pStyle w:val="ListParagraph"/>
              <w:numPr>
                <w:ilvl w:val="0"/>
                <w:numId w:val="2"/>
              </w:numPr>
              <w:ind w:left="236" w:hanging="180"/>
            </w:pPr>
            <w:r>
              <w:t xml:space="preserve">Student is given </w:t>
            </w:r>
            <w:r w:rsidR="00D3369F">
              <w:t>a table which lists various facilities in the far-left column and various stakeholders across the top of the columns. Student is readily able to “fill-in” the grid at the intersection of each row and column. A rubric is used to grade the responses.</w:t>
            </w:r>
          </w:p>
        </w:tc>
        <w:tc>
          <w:tcPr>
            <w:tcW w:w="2188" w:type="dxa"/>
          </w:tcPr>
          <w:p w14:paraId="5CFEFA83" w14:textId="77777777" w:rsidR="00884206" w:rsidRDefault="00884206"/>
        </w:tc>
        <w:tc>
          <w:tcPr>
            <w:tcW w:w="2528" w:type="dxa"/>
          </w:tcPr>
          <w:p w14:paraId="3CDD560C" w14:textId="77777777" w:rsidR="00884206" w:rsidRDefault="00884206"/>
        </w:tc>
      </w:tr>
      <w:tr w:rsidR="00884206" w14:paraId="148390F8" w14:textId="77777777" w:rsidTr="001A78EF">
        <w:tc>
          <w:tcPr>
            <w:tcW w:w="1548" w:type="dxa"/>
          </w:tcPr>
          <w:p w14:paraId="76741FAA" w14:textId="4DDE50B1" w:rsidR="00884206" w:rsidRDefault="00884206" w:rsidP="00B47009">
            <w:r>
              <w:t>II. Information Protection: Access</w:t>
            </w:r>
            <w:r w:rsidR="00B47009">
              <w:t>,</w:t>
            </w:r>
            <w:r>
              <w:t xml:space="preserve"> </w:t>
            </w:r>
            <w:r w:rsidR="008877EB">
              <w:t xml:space="preserve">Use, </w:t>
            </w:r>
            <w:r>
              <w:t>Disclosure, Privacy</w:t>
            </w:r>
            <w:r w:rsidR="008877EB">
              <w:t xml:space="preserve">, and </w:t>
            </w:r>
            <w:r>
              <w:t>Security</w:t>
            </w:r>
          </w:p>
        </w:tc>
        <w:tc>
          <w:tcPr>
            <w:tcW w:w="2917" w:type="dxa"/>
          </w:tcPr>
          <w:p w14:paraId="5FEFB611" w14:textId="64CA644D" w:rsidR="00884206" w:rsidRDefault="008877EB" w:rsidP="00DB6F23">
            <w:r>
              <w:t xml:space="preserve"> </w:t>
            </w:r>
            <w:r w:rsidRPr="008877EB">
              <w:t>II.1. Apply privacy strategies to health information.</w:t>
            </w:r>
            <w:r>
              <w:t xml:space="preserve"> (3)</w:t>
            </w:r>
          </w:p>
        </w:tc>
        <w:tc>
          <w:tcPr>
            <w:tcW w:w="2679" w:type="dxa"/>
          </w:tcPr>
          <w:p w14:paraId="0A288704" w14:textId="0A500C45" w:rsidR="00884206" w:rsidRDefault="00953F08">
            <w:r>
              <w:t>St</w:t>
            </w:r>
            <w:r w:rsidR="00884206">
              <w:t xml:space="preserve">udent will be able to </w:t>
            </w:r>
            <w:r w:rsidR="008877EB">
              <w:t>correctly determine whether requested information should/should not be released and why.</w:t>
            </w:r>
          </w:p>
        </w:tc>
        <w:tc>
          <w:tcPr>
            <w:tcW w:w="3044" w:type="dxa"/>
          </w:tcPr>
          <w:p w14:paraId="0717B3A5" w14:textId="667602E1" w:rsidR="00884206" w:rsidRDefault="00953F08">
            <w:pPr>
              <w:pStyle w:val="ListParagraph"/>
              <w:numPr>
                <w:ilvl w:val="0"/>
                <w:numId w:val="2"/>
              </w:numPr>
              <w:ind w:left="236" w:hanging="180"/>
            </w:pPr>
            <w:r>
              <w:t>Given a sample patient release of information scenario and a sample facility release of information policy, s</w:t>
            </w:r>
            <w:r w:rsidR="008877EB" w:rsidRPr="008877EB">
              <w:t xml:space="preserve">tudent </w:t>
            </w:r>
            <w:r w:rsidR="008877EB">
              <w:t xml:space="preserve">records her/his responses as to </w:t>
            </w:r>
            <w:r w:rsidR="008877EB" w:rsidRPr="008877EB">
              <w:t>whether the requested information should/should not be released</w:t>
            </w:r>
            <w:r w:rsidR="008877EB">
              <w:t xml:space="preserve"> and defends their responses with rationale from the ROI scenario and the policy</w:t>
            </w:r>
            <w:r w:rsidR="008877EB" w:rsidRPr="008877EB">
              <w:t>.</w:t>
            </w:r>
            <w:r w:rsidR="008877EB">
              <w:t xml:space="preserve"> A rubric is used to grade the responses.</w:t>
            </w:r>
          </w:p>
        </w:tc>
        <w:tc>
          <w:tcPr>
            <w:tcW w:w="2188" w:type="dxa"/>
          </w:tcPr>
          <w:p w14:paraId="335377CA" w14:textId="77777777" w:rsidR="00884206" w:rsidRDefault="00884206"/>
        </w:tc>
        <w:tc>
          <w:tcPr>
            <w:tcW w:w="2528" w:type="dxa"/>
          </w:tcPr>
          <w:p w14:paraId="242758BA" w14:textId="77777777" w:rsidR="00884206" w:rsidRDefault="00884206"/>
        </w:tc>
      </w:tr>
    </w:tbl>
    <w:p w14:paraId="355F8370" w14:textId="77777777" w:rsidR="009961F0" w:rsidRDefault="009961F0">
      <w:r>
        <w:br w:type="page"/>
      </w:r>
    </w:p>
    <w:tbl>
      <w:tblPr>
        <w:tblStyle w:val="TableGrid"/>
        <w:tblW w:w="0" w:type="auto"/>
        <w:tblLayout w:type="fixed"/>
        <w:tblLook w:val="04A0" w:firstRow="1" w:lastRow="0" w:firstColumn="1" w:lastColumn="0" w:noHBand="0" w:noVBand="1"/>
      </w:tblPr>
      <w:tblGrid>
        <w:gridCol w:w="1638"/>
        <w:gridCol w:w="2827"/>
        <w:gridCol w:w="2679"/>
        <w:gridCol w:w="3044"/>
        <w:gridCol w:w="2188"/>
        <w:gridCol w:w="2528"/>
      </w:tblGrid>
      <w:tr w:rsidR="00953F08" w14:paraId="05E1D1AD" w14:textId="77777777" w:rsidTr="001A78EF">
        <w:tc>
          <w:tcPr>
            <w:tcW w:w="1638" w:type="dxa"/>
          </w:tcPr>
          <w:p w14:paraId="7A6AB3EF" w14:textId="78E647DB" w:rsidR="00953F08" w:rsidRDefault="00953F08" w:rsidP="00B47009">
            <w:r w:rsidRPr="00953F08">
              <w:lastRenderedPageBreak/>
              <w:t>III. Informatics, Analytics, and Data Use</w:t>
            </w:r>
          </w:p>
        </w:tc>
        <w:tc>
          <w:tcPr>
            <w:tcW w:w="2827" w:type="dxa"/>
          </w:tcPr>
          <w:p w14:paraId="6A85DA92" w14:textId="57F48B7D" w:rsidR="00953F08" w:rsidDel="008877EB" w:rsidRDefault="00953F08" w:rsidP="00DB6F23">
            <w:r w:rsidRPr="00953F08">
              <w:t>III.6. Describe the concepts of managing data.</w:t>
            </w:r>
            <w:r>
              <w:t xml:space="preserve"> (3)</w:t>
            </w:r>
          </w:p>
        </w:tc>
        <w:tc>
          <w:tcPr>
            <w:tcW w:w="2679" w:type="dxa"/>
          </w:tcPr>
          <w:p w14:paraId="2C1F11E5" w14:textId="2133BA1F" w:rsidR="00953F08" w:rsidRDefault="00953F08">
            <w:r>
              <w:t>Student will be able to d</w:t>
            </w:r>
            <w:r w:rsidRPr="00953F08">
              <w:t>escribe the concepts of managing data</w:t>
            </w:r>
            <w:r>
              <w:t xml:space="preserve"> (e.g. acquisition, validation, processing, protection, storage, etc.)</w:t>
            </w:r>
            <w:r w:rsidRPr="00953F08">
              <w:t>.</w:t>
            </w:r>
          </w:p>
        </w:tc>
        <w:tc>
          <w:tcPr>
            <w:tcW w:w="3044" w:type="dxa"/>
          </w:tcPr>
          <w:p w14:paraId="3EFE4586" w14:textId="484B5221" w:rsidR="00953F08" w:rsidRDefault="00953F08">
            <w:pPr>
              <w:pStyle w:val="ListParagraph"/>
              <w:numPr>
                <w:ilvl w:val="0"/>
                <w:numId w:val="2"/>
              </w:numPr>
              <w:ind w:left="236" w:hanging="180"/>
            </w:pPr>
            <w:r w:rsidRPr="00953F08">
              <w:t xml:space="preserve">Student </w:t>
            </w:r>
            <w:r>
              <w:t>lists and correctly d</w:t>
            </w:r>
            <w:r w:rsidRPr="00953F08">
              <w:t>escribe</w:t>
            </w:r>
            <w:r>
              <w:t>s</w:t>
            </w:r>
            <w:r w:rsidRPr="00953F08">
              <w:t xml:space="preserve"> the concepts of managing data (e.g. acquisition, validation, processing, protection, storage, etc.).</w:t>
            </w:r>
            <w:r>
              <w:t xml:space="preserve"> A rubric is used to grade the responses.</w:t>
            </w:r>
          </w:p>
        </w:tc>
        <w:tc>
          <w:tcPr>
            <w:tcW w:w="2188" w:type="dxa"/>
          </w:tcPr>
          <w:p w14:paraId="3BBDFC86" w14:textId="77777777" w:rsidR="00953F08" w:rsidRDefault="00953F08"/>
        </w:tc>
        <w:tc>
          <w:tcPr>
            <w:tcW w:w="2528" w:type="dxa"/>
          </w:tcPr>
          <w:p w14:paraId="028D682A" w14:textId="77777777" w:rsidR="00953F08" w:rsidRDefault="00953F08"/>
        </w:tc>
      </w:tr>
      <w:tr w:rsidR="00884206" w14:paraId="0652CB86" w14:textId="77777777" w:rsidTr="001A78EF">
        <w:tc>
          <w:tcPr>
            <w:tcW w:w="1638" w:type="dxa"/>
          </w:tcPr>
          <w:p w14:paraId="21EE4100" w14:textId="4374D1D8" w:rsidR="00884206" w:rsidRDefault="00884206" w:rsidP="006E51F6">
            <w:r>
              <w:t xml:space="preserve">IV. Revenue </w:t>
            </w:r>
            <w:r w:rsidR="00953F08">
              <w:t xml:space="preserve">Cycle </w:t>
            </w:r>
            <w:r>
              <w:t>Management</w:t>
            </w:r>
          </w:p>
        </w:tc>
        <w:tc>
          <w:tcPr>
            <w:tcW w:w="2827" w:type="dxa"/>
          </w:tcPr>
          <w:p w14:paraId="4C407318" w14:textId="41658040" w:rsidR="00884206" w:rsidRDefault="00457D24" w:rsidP="004B5CB8">
            <w:r>
              <w:t xml:space="preserve"> </w:t>
            </w:r>
            <w:r w:rsidRPr="00457D24">
              <w:t>IV.1. Determine diagnosis and procedure codes and groupings according to official guidelines.</w:t>
            </w:r>
            <w:r>
              <w:t xml:space="preserve"> (5)</w:t>
            </w:r>
          </w:p>
        </w:tc>
        <w:tc>
          <w:tcPr>
            <w:tcW w:w="2679" w:type="dxa"/>
          </w:tcPr>
          <w:p w14:paraId="5F8C2E3E" w14:textId="6DF5F356" w:rsidR="00884206" w:rsidRDefault="00884206" w:rsidP="004B5CB8">
            <w:r>
              <w:t xml:space="preserve">Student will be able to </w:t>
            </w:r>
            <w:r w:rsidR="00457D24">
              <w:t>accurately assign diagnosis and procedure codes and groupings to various patient case coding scenarios.</w:t>
            </w:r>
          </w:p>
        </w:tc>
        <w:tc>
          <w:tcPr>
            <w:tcW w:w="3044" w:type="dxa"/>
          </w:tcPr>
          <w:p w14:paraId="1294DBAA" w14:textId="3818BE27" w:rsidR="00884206" w:rsidRDefault="00884206">
            <w:pPr>
              <w:pStyle w:val="ListParagraph"/>
              <w:numPr>
                <w:ilvl w:val="0"/>
                <w:numId w:val="2"/>
              </w:numPr>
              <w:ind w:left="236" w:hanging="180"/>
            </w:pPr>
            <w:r>
              <w:t xml:space="preserve">Given a set of </w:t>
            </w:r>
            <w:r w:rsidR="00457D24">
              <w:t xml:space="preserve">patient case coding scenarios, student accurately assign diagnosis and procedure codes and groupings using at least one encoder application as well as all available and appropriate coding references. Goal is </w:t>
            </w:r>
            <w:r w:rsidR="00435799">
              <w:t>95</w:t>
            </w:r>
            <w:r>
              <w:t>% accuracy</w:t>
            </w:r>
            <w:r w:rsidR="00457D24">
              <w:t>. A rubric is used to grade the responses.</w:t>
            </w:r>
          </w:p>
        </w:tc>
        <w:tc>
          <w:tcPr>
            <w:tcW w:w="2188" w:type="dxa"/>
          </w:tcPr>
          <w:p w14:paraId="73BBC4C6" w14:textId="77777777" w:rsidR="00884206" w:rsidRDefault="00884206"/>
        </w:tc>
        <w:tc>
          <w:tcPr>
            <w:tcW w:w="2528" w:type="dxa"/>
          </w:tcPr>
          <w:p w14:paraId="0578CCBB" w14:textId="77777777" w:rsidR="00884206" w:rsidRDefault="00884206"/>
        </w:tc>
      </w:tr>
      <w:tr w:rsidR="00884206" w14:paraId="015DC9CD" w14:textId="77777777" w:rsidTr="001A78EF">
        <w:tc>
          <w:tcPr>
            <w:tcW w:w="1638" w:type="dxa"/>
            <w:shd w:val="clear" w:color="auto" w:fill="FFFFFF" w:themeFill="background1"/>
          </w:tcPr>
          <w:p w14:paraId="31567FE3" w14:textId="6606CE5B" w:rsidR="00884206" w:rsidRDefault="00884206" w:rsidP="004B5CB8">
            <w:r>
              <w:t xml:space="preserve">V. </w:t>
            </w:r>
            <w:r w:rsidR="009A14F3">
              <w:t xml:space="preserve">Health Law &amp; </w:t>
            </w:r>
            <w:r>
              <w:t>Compliance</w:t>
            </w:r>
          </w:p>
        </w:tc>
        <w:tc>
          <w:tcPr>
            <w:tcW w:w="2827" w:type="dxa"/>
            <w:shd w:val="clear" w:color="auto" w:fill="FFFFFF" w:themeFill="background1"/>
          </w:tcPr>
          <w:p w14:paraId="5E7507BF" w14:textId="2F505297" w:rsidR="00884206" w:rsidRDefault="009A14F3" w:rsidP="00F53169">
            <w:r w:rsidRPr="009A14F3">
              <w:t xml:space="preserve">V.1. Apply legal processes impacting health information. </w:t>
            </w:r>
            <w:r w:rsidR="00F53169">
              <w:t>(3</w:t>
            </w:r>
            <w:r w:rsidR="00884206">
              <w:t>)</w:t>
            </w:r>
          </w:p>
        </w:tc>
        <w:tc>
          <w:tcPr>
            <w:tcW w:w="2679" w:type="dxa"/>
            <w:shd w:val="clear" w:color="auto" w:fill="FFFFFF" w:themeFill="background1"/>
          </w:tcPr>
          <w:p w14:paraId="4AB713E3" w14:textId="596E2D1B" w:rsidR="00884206" w:rsidRDefault="00884206" w:rsidP="004B5CB8">
            <w:r>
              <w:t xml:space="preserve">Student </w:t>
            </w:r>
            <w:proofErr w:type="gramStart"/>
            <w:r w:rsidR="009A14F3">
              <w:t>is able to</w:t>
            </w:r>
            <w:proofErr w:type="gramEnd"/>
            <w:r w:rsidR="009A14F3">
              <w:t xml:space="preserve"> differentiate the legal health record from the designated record set.</w:t>
            </w:r>
          </w:p>
        </w:tc>
        <w:tc>
          <w:tcPr>
            <w:tcW w:w="3044" w:type="dxa"/>
            <w:shd w:val="clear" w:color="auto" w:fill="FFFFFF" w:themeFill="background1"/>
          </w:tcPr>
          <w:p w14:paraId="6E68238F" w14:textId="3C093B21" w:rsidR="00884206" w:rsidRDefault="00E33CDB" w:rsidP="009F3814">
            <w:pPr>
              <w:pStyle w:val="ListParagraph"/>
              <w:numPr>
                <w:ilvl w:val="0"/>
                <w:numId w:val="2"/>
              </w:numPr>
              <w:ind w:left="236" w:hanging="180"/>
            </w:pPr>
            <w:r>
              <w:t xml:space="preserve">A quiz question asks the student to </w:t>
            </w:r>
            <w:r w:rsidRPr="00E33CDB">
              <w:t>differentiate the legal health record from the designated record set</w:t>
            </w:r>
            <w:r>
              <w:t>, and the student is readily able to do so</w:t>
            </w:r>
            <w:r w:rsidRPr="00E33CDB">
              <w:t>.</w:t>
            </w:r>
            <w:r>
              <w:t xml:space="preserve"> A rubric is used to grade the responses.</w:t>
            </w:r>
          </w:p>
        </w:tc>
        <w:tc>
          <w:tcPr>
            <w:tcW w:w="2188" w:type="dxa"/>
            <w:shd w:val="clear" w:color="auto" w:fill="FFFFFF" w:themeFill="background1"/>
          </w:tcPr>
          <w:p w14:paraId="2C291B43" w14:textId="77777777" w:rsidR="00884206" w:rsidRDefault="00884206" w:rsidP="004B5CB8"/>
        </w:tc>
        <w:tc>
          <w:tcPr>
            <w:tcW w:w="2528" w:type="dxa"/>
            <w:shd w:val="clear" w:color="auto" w:fill="FFFFFF" w:themeFill="background1"/>
          </w:tcPr>
          <w:p w14:paraId="4007ABFC" w14:textId="77777777" w:rsidR="00884206" w:rsidRDefault="00884206" w:rsidP="004B5CB8"/>
        </w:tc>
      </w:tr>
      <w:tr w:rsidR="00B363C8" w14:paraId="1F479F9A" w14:textId="77777777" w:rsidTr="001A78EF">
        <w:tc>
          <w:tcPr>
            <w:tcW w:w="1638" w:type="dxa"/>
            <w:shd w:val="clear" w:color="auto" w:fill="FFFFFF" w:themeFill="background1"/>
          </w:tcPr>
          <w:p w14:paraId="79912BA5" w14:textId="24BC4782" w:rsidR="00B363C8" w:rsidRDefault="004824D6" w:rsidP="004B5CB8">
            <w:r w:rsidRPr="004824D6">
              <w:t>VI. Organizational Management &amp; Leadership</w:t>
            </w:r>
          </w:p>
        </w:tc>
        <w:tc>
          <w:tcPr>
            <w:tcW w:w="2827" w:type="dxa"/>
            <w:shd w:val="clear" w:color="auto" w:fill="FFFFFF" w:themeFill="background1"/>
          </w:tcPr>
          <w:p w14:paraId="51445CAA" w14:textId="5F0069E7" w:rsidR="00B363C8" w:rsidDel="009A14F3" w:rsidRDefault="004824D6" w:rsidP="00F53169">
            <w:r w:rsidRPr="004824D6">
              <w:t>VI.1. Demonstrate fundamental leadership skills.</w:t>
            </w:r>
            <w:r w:rsidR="00FB3163">
              <w:t xml:space="preserve"> (3)</w:t>
            </w:r>
          </w:p>
        </w:tc>
        <w:tc>
          <w:tcPr>
            <w:tcW w:w="2679" w:type="dxa"/>
            <w:shd w:val="clear" w:color="auto" w:fill="FFFFFF" w:themeFill="background1"/>
          </w:tcPr>
          <w:p w14:paraId="46A3CC2F" w14:textId="5659ECAD" w:rsidR="00B363C8" w:rsidRDefault="004824D6" w:rsidP="004B5CB8">
            <w:r>
              <w:t>Student demonstrates effective written communication.</w:t>
            </w:r>
          </w:p>
        </w:tc>
        <w:tc>
          <w:tcPr>
            <w:tcW w:w="3044" w:type="dxa"/>
            <w:shd w:val="clear" w:color="auto" w:fill="FFFFFF" w:themeFill="background1"/>
          </w:tcPr>
          <w:p w14:paraId="14DD0C88" w14:textId="7F87C0B8" w:rsidR="00B363C8" w:rsidRDefault="004824D6" w:rsidP="009F3814">
            <w:pPr>
              <w:pStyle w:val="ListParagraph"/>
              <w:numPr>
                <w:ilvl w:val="0"/>
                <w:numId w:val="2"/>
              </w:numPr>
              <w:ind w:left="236" w:hanging="180"/>
            </w:pPr>
            <w:r>
              <w:t>A writing project is assigned in which the student is presented with a business scenario which requires an email communication; the student writes and submits the email to the instructor. A rubric is used to grade the email.</w:t>
            </w:r>
          </w:p>
        </w:tc>
        <w:tc>
          <w:tcPr>
            <w:tcW w:w="2188" w:type="dxa"/>
            <w:shd w:val="clear" w:color="auto" w:fill="FFFFFF" w:themeFill="background1"/>
          </w:tcPr>
          <w:p w14:paraId="7F366EA1" w14:textId="77777777" w:rsidR="00B363C8" w:rsidRDefault="00B363C8" w:rsidP="004B5CB8"/>
        </w:tc>
        <w:tc>
          <w:tcPr>
            <w:tcW w:w="2528" w:type="dxa"/>
            <w:shd w:val="clear" w:color="auto" w:fill="FFFFFF" w:themeFill="background1"/>
          </w:tcPr>
          <w:p w14:paraId="663F23A7" w14:textId="77777777" w:rsidR="00B363C8" w:rsidRDefault="00B363C8" w:rsidP="004B5CB8"/>
        </w:tc>
      </w:tr>
    </w:tbl>
    <w:p w14:paraId="254B6596" w14:textId="77777777" w:rsidR="00FA6B4E" w:rsidRDefault="00FA6B4E" w:rsidP="00F53169">
      <w:pPr>
        <w:spacing w:after="0" w:line="240" w:lineRule="auto"/>
      </w:pPr>
    </w:p>
    <w:sectPr w:rsidR="00FA6B4E" w:rsidSect="00120CE2">
      <w:footerReference w:type="default" r:id="rId12"/>
      <w:pgSz w:w="15840" w:h="12240" w:orient="landscape" w:code="1"/>
      <w:pgMar w:top="720" w:right="576" w:bottom="576" w:left="57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CC9EA" w14:textId="77777777" w:rsidR="000E3A61" w:rsidRDefault="000E3A61" w:rsidP="00BA0F28">
      <w:pPr>
        <w:spacing w:after="0" w:line="240" w:lineRule="auto"/>
      </w:pPr>
      <w:r>
        <w:separator/>
      </w:r>
    </w:p>
  </w:endnote>
  <w:endnote w:type="continuationSeparator" w:id="0">
    <w:p w14:paraId="2FF5D8B1" w14:textId="77777777" w:rsidR="000E3A61" w:rsidRDefault="000E3A61" w:rsidP="00BA0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9747"/>
      <w:docPartObj>
        <w:docPartGallery w:val="Page Numbers (Bottom of Page)"/>
        <w:docPartUnique/>
      </w:docPartObj>
    </w:sdtPr>
    <w:sdtEndPr/>
    <w:sdtContent>
      <w:p w14:paraId="5C6FCBD3" w14:textId="6937C9EA" w:rsidR="000E3A61" w:rsidRDefault="00337249" w:rsidP="00CD4678">
        <w:pPr>
          <w:pStyle w:val="Footer"/>
          <w:jc w:val="right"/>
        </w:pPr>
        <w:r w:rsidRPr="00120CE2">
          <w:rPr>
            <w:i/>
            <w:iCs/>
            <w:noProof/>
          </w:rPr>
          <w:t>PCAP 2018 Self-Assessment</w:t>
        </w:r>
        <w:r w:rsidR="004D3F7D">
          <w:rPr>
            <w:noProof/>
          </w:rPr>
          <w:t xml:space="preserve">        </w:t>
        </w:r>
        <w:r w:rsidR="004D3F7D">
          <w:t xml:space="preserve">Page </w:t>
        </w:r>
        <w:r w:rsidR="004D3F7D">
          <w:fldChar w:fldCharType="begin"/>
        </w:r>
        <w:r w:rsidR="004D3F7D">
          <w:instrText xml:space="preserve"> PAGE   \* MERGEFORMAT </w:instrText>
        </w:r>
        <w:r w:rsidR="004D3F7D">
          <w:fldChar w:fldCharType="separate"/>
        </w:r>
        <w:r w:rsidR="004D3F7D">
          <w:t>1</w:t>
        </w:r>
        <w:r w:rsidR="004D3F7D">
          <w:rPr>
            <w:noProof/>
          </w:rPr>
          <w:fldChar w:fldCharType="end"/>
        </w:r>
      </w:p>
    </w:sdtContent>
  </w:sdt>
  <w:p w14:paraId="1968D8DA" w14:textId="09BBC8AB" w:rsidR="000070EA" w:rsidRPr="00120CE2" w:rsidRDefault="000070EA" w:rsidP="00120CE2">
    <w:pPr>
      <w:pStyle w:val="Footer"/>
      <w:rPr>
        <w:i/>
        <w:iCs/>
      </w:rPr>
    </w:pPr>
    <w:r>
      <w:tab/>
    </w:r>
    <w:r>
      <w:tab/>
    </w:r>
    <w:r>
      <w:tab/>
    </w:r>
    <w:r>
      <w:tab/>
    </w:r>
    <w:r>
      <w:tab/>
    </w:r>
    <w:r>
      <w:tab/>
    </w:r>
    <w:r w:rsidRPr="00120CE2">
      <w:rPr>
        <w:i/>
        <w:iCs/>
      </w:rPr>
      <w:t xml:space="preserve">   AHIMA© 2020</w:t>
    </w:r>
  </w:p>
  <w:p w14:paraId="47EB56BC" w14:textId="77777777" w:rsidR="000E3A61" w:rsidRDefault="000E3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86FB" w14:textId="77777777" w:rsidR="000E3A61" w:rsidRDefault="000E3A61" w:rsidP="00BA0F28">
      <w:pPr>
        <w:spacing w:after="0" w:line="240" w:lineRule="auto"/>
      </w:pPr>
      <w:r>
        <w:separator/>
      </w:r>
    </w:p>
  </w:footnote>
  <w:footnote w:type="continuationSeparator" w:id="0">
    <w:p w14:paraId="35728E5B" w14:textId="77777777" w:rsidR="000E3A61" w:rsidRDefault="000E3A61" w:rsidP="00BA0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2E8B"/>
    <w:multiLevelType w:val="hybridMultilevel"/>
    <w:tmpl w:val="75D25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C89"/>
    <w:multiLevelType w:val="hybridMultilevel"/>
    <w:tmpl w:val="7C762DB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12BB4D93"/>
    <w:multiLevelType w:val="hybridMultilevel"/>
    <w:tmpl w:val="969A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2A43F7"/>
    <w:multiLevelType w:val="hybridMultilevel"/>
    <w:tmpl w:val="83E0B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52"/>
    <w:rsid w:val="00005B35"/>
    <w:rsid w:val="000070EA"/>
    <w:rsid w:val="00013E0D"/>
    <w:rsid w:val="00023D38"/>
    <w:rsid w:val="00024AA2"/>
    <w:rsid w:val="00027F1C"/>
    <w:rsid w:val="00032813"/>
    <w:rsid w:val="000460A8"/>
    <w:rsid w:val="00053101"/>
    <w:rsid w:val="00067CC0"/>
    <w:rsid w:val="00077AAC"/>
    <w:rsid w:val="00077CFE"/>
    <w:rsid w:val="000851DB"/>
    <w:rsid w:val="00093B01"/>
    <w:rsid w:val="000969FD"/>
    <w:rsid w:val="000B5CEC"/>
    <w:rsid w:val="000E3A61"/>
    <w:rsid w:val="000F2CF8"/>
    <w:rsid w:val="00101E2F"/>
    <w:rsid w:val="0011466D"/>
    <w:rsid w:val="00117A94"/>
    <w:rsid w:val="00120CE2"/>
    <w:rsid w:val="001224E9"/>
    <w:rsid w:val="001441FE"/>
    <w:rsid w:val="001502DD"/>
    <w:rsid w:val="00160B12"/>
    <w:rsid w:val="00172DDF"/>
    <w:rsid w:val="001753F2"/>
    <w:rsid w:val="001A10C1"/>
    <w:rsid w:val="001A78EF"/>
    <w:rsid w:val="001E2762"/>
    <w:rsid w:val="00205CB0"/>
    <w:rsid w:val="00207C55"/>
    <w:rsid w:val="00212F33"/>
    <w:rsid w:val="0022536E"/>
    <w:rsid w:val="00233A29"/>
    <w:rsid w:val="002424F4"/>
    <w:rsid w:val="002520D4"/>
    <w:rsid w:val="0026349E"/>
    <w:rsid w:val="002A46F9"/>
    <w:rsid w:val="002A49A1"/>
    <w:rsid w:val="002B519E"/>
    <w:rsid w:val="002D6090"/>
    <w:rsid w:val="002D6B4A"/>
    <w:rsid w:val="002E3E3C"/>
    <w:rsid w:val="002F7D47"/>
    <w:rsid w:val="0030088E"/>
    <w:rsid w:val="0030628B"/>
    <w:rsid w:val="0031312B"/>
    <w:rsid w:val="003133BC"/>
    <w:rsid w:val="00320B4B"/>
    <w:rsid w:val="0032381A"/>
    <w:rsid w:val="00337249"/>
    <w:rsid w:val="00357970"/>
    <w:rsid w:val="003772A6"/>
    <w:rsid w:val="0038684C"/>
    <w:rsid w:val="00432E8C"/>
    <w:rsid w:val="00434D95"/>
    <w:rsid w:val="00435799"/>
    <w:rsid w:val="00443B9F"/>
    <w:rsid w:val="00457D24"/>
    <w:rsid w:val="00461910"/>
    <w:rsid w:val="004824D6"/>
    <w:rsid w:val="00492BFF"/>
    <w:rsid w:val="004953A4"/>
    <w:rsid w:val="0049758B"/>
    <w:rsid w:val="004A7B15"/>
    <w:rsid w:val="004B5CB8"/>
    <w:rsid w:val="004D3F7D"/>
    <w:rsid w:val="004D5D0B"/>
    <w:rsid w:val="004E2CA7"/>
    <w:rsid w:val="0054441C"/>
    <w:rsid w:val="00546B6E"/>
    <w:rsid w:val="0055203A"/>
    <w:rsid w:val="0057020F"/>
    <w:rsid w:val="00572BC8"/>
    <w:rsid w:val="0057666F"/>
    <w:rsid w:val="00581F69"/>
    <w:rsid w:val="00582069"/>
    <w:rsid w:val="00584CF5"/>
    <w:rsid w:val="005C2509"/>
    <w:rsid w:val="005D0604"/>
    <w:rsid w:val="006350CC"/>
    <w:rsid w:val="006730B4"/>
    <w:rsid w:val="0068074E"/>
    <w:rsid w:val="00693BE8"/>
    <w:rsid w:val="00693CF8"/>
    <w:rsid w:val="006B01EE"/>
    <w:rsid w:val="006B0491"/>
    <w:rsid w:val="006C4E95"/>
    <w:rsid w:val="006E51F6"/>
    <w:rsid w:val="007330AE"/>
    <w:rsid w:val="00744F37"/>
    <w:rsid w:val="00753E56"/>
    <w:rsid w:val="00765B85"/>
    <w:rsid w:val="00782FEB"/>
    <w:rsid w:val="00783511"/>
    <w:rsid w:val="0079345F"/>
    <w:rsid w:val="00795119"/>
    <w:rsid w:val="007A7E3A"/>
    <w:rsid w:val="007C76FD"/>
    <w:rsid w:val="007D59C8"/>
    <w:rsid w:val="007E5B52"/>
    <w:rsid w:val="007E69DA"/>
    <w:rsid w:val="00815DD2"/>
    <w:rsid w:val="00851F8D"/>
    <w:rsid w:val="00853190"/>
    <w:rsid w:val="00864116"/>
    <w:rsid w:val="00884206"/>
    <w:rsid w:val="008877EB"/>
    <w:rsid w:val="00887C15"/>
    <w:rsid w:val="008A087A"/>
    <w:rsid w:val="008B48BD"/>
    <w:rsid w:val="008C2C74"/>
    <w:rsid w:val="008C3ABB"/>
    <w:rsid w:val="008C4347"/>
    <w:rsid w:val="008E1C07"/>
    <w:rsid w:val="008E4553"/>
    <w:rsid w:val="009040C7"/>
    <w:rsid w:val="00911FBF"/>
    <w:rsid w:val="00912D1F"/>
    <w:rsid w:val="009506D6"/>
    <w:rsid w:val="00953F08"/>
    <w:rsid w:val="00993956"/>
    <w:rsid w:val="009961F0"/>
    <w:rsid w:val="00997495"/>
    <w:rsid w:val="009A14F3"/>
    <w:rsid w:val="009E0453"/>
    <w:rsid w:val="009F3814"/>
    <w:rsid w:val="009F4A4B"/>
    <w:rsid w:val="009F4E6A"/>
    <w:rsid w:val="00A00D54"/>
    <w:rsid w:val="00A01C1C"/>
    <w:rsid w:val="00A032CE"/>
    <w:rsid w:val="00A159BC"/>
    <w:rsid w:val="00A25821"/>
    <w:rsid w:val="00A36C1D"/>
    <w:rsid w:val="00A412AB"/>
    <w:rsid w:val="00A428BE"/>
    <w:rsid w:val="00A64985"/>
    <w:rsid w:val="00A661CE"/>
    <w:rsid w:val="00A75899"/>
    <w:rsid w:val="00A96829"/>
    <w:rsid w:val="00AC4B2A"/>
    <w:rsid w:val="00AC5EBA"/>
    <w:rsid w:val="00AF51F1"/>
    <w:rsid w:val="00AF600A"/>
    <w:rsid w:val="00B22FFC"/>
    <w:rsid w:val="00B236CA"/>
    <w:rsid w:val="00B26DBE"/>
    <w:rsid w:val="00B363C8"/>
    <w:rsid w:val="00B47009"/>
    <w:rsid w:val="00B4796A"/>
    <w:rsid w:val="00B5014E"/>
    <w:rsid w:val="00B548DE"/>
    <w:rsid w:val="00B6386F"/>
    <w:rsid w:val="00B95277"/>
    <w:rsid w:val="00BA0F28"/>
    <w:rsid w:val="00BA6C90"/>
    <w:rsid w:val="00BB12B6"/>
    <w:rsid w:val="00BF6D44"/>
    <w:rsid w:val="00C62355"/>
    <w:rsid w:val="00C7622A"/>
    <w:rsid w:val="00CA5FFE"/>
    <w:rsid w:val="00CD4678"/>
    <w:rsid w:val="00CE57D8"/>
    <w:rsid w:val="00D1607F"/>
    <w:rsid w:val="00D206BA"/>
    <w:rsid w:val="00D241CE"/>
    <w:rsid w:val="00D26AF8"/>
    <w:rsid w:val="00D31F16"/>
    <w:rsid w:val="00D33431"/>
    <w:rsid w:val="00D3369F"/>
    <w:rsid w:val="00D920D2"/>
    <w:rsid w:val="00DA746F"/>
    <w:rsid w:val="00DB6F23"/>
    <w:rsid w:val="00DD56FB"/>
    <w:rsid w:val="00DF0EC1"/>
    <w:rsid w:val="00E17B35"/>
    <w:rsid w:val="00E17C66"/>
    <w:rsid w:val="00E20757"/>
    <w:rsid w:val="00E33CDB"/>
    <w:rsid w:val="00E744D4"/>
    <w:rsid w:val="00EA5922"/>
    <w:rsid w:val="00EA7CD2"/>
    <w:rsid w:val="00EC67A6"/>
    <w:rsid w:val="00ED0D63"/>
    <w:rsid w:val="00EE34CF"/>
    <w:rsid w:val="00F066CE"/>
    <w:rsid w:val="00F132C5"/>
    <w:rsid w:val="00F26AD9"/>
    <w:rsid w:val="00F53169"/>
    <w:rsid w:val="00F5391B"/>
    <w:rsid w:val="00F72B0D"/>
    <w:rsid w:val="00FA0571"/>
    <w:rsid w:val="00FA6B4E"/>
    <w:rsid w:val="00FA7D5D"/>
    <w:rsid w:val="00FB0808"/>
    <w:rsid w:val="00FB3163"/>
    <w:rsid w:val="00FB33F6"/>
    <w:rsid w:val="00FE2BE8"/>
    <w:rsid w:val="00FE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6F1F83"/>
  <w15:docId w15:val="{9E0C8B0F-617F-4EDD-84E1-46A054AA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12B6"/>
  </w:style>
  <w:style w:type="paragraph" w:styleId="Heading1">
    <w:name w:val="heading 1"/>
    <w:basedOn w:val="Normal"/>
    <w:next w:val="Normal"/>
    <w:link w:val="Heading1Char"/>
    <w:uiPriority w:val="9"/>
    <w:qFormat/>
    <w:rsid w:val="00077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3A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E3C"/>
    <w:pPr>
      <w:ind w:left="720"/>
      <w:contextualSpacing/>
    </w:pPr>
  </w:style>
  <w:style w:type="paragraph" w:customStyle="1" w:styleId="Default">
    <w:name w:val="Default"/>
    <w:rsid w:val="00023D3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A0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28"/>
  </w:style>
  <w:style w:type="paragraph" w:styleId="Footer">
    <w:name w:val="footer"/>
    <w:basedOn w:val="Normal"/>
    <w:link w:val="FooterChar"/>
    <w:uiPriority w:val="99"/>
    <w:unhideWhenUsed/>
    <w:rsid w:val="00BA0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F28"/>
  </w:style>
  <w:style w:type="character" w:styleId="CommentReference">
    <w:name w:val="annotation reference"/>
    <w:basedOn w:val="DefaultParagraphFont"/>
    <w:uiPriority w:val="99"/>
    <w:semiHidden/>
    <w:unhideWhenUsed/>
    <w:rsid w:val="00BA0F28"/>
    <w:rPr>
      <w:sz w:val="16"/>
      <w:szCs w:val="16"/>
    </w:rPr>
  </w:style>
  <w:style w:type="paragraph" w:styleId="CommentText">
    <w:name w:val="annotation text"/>
    <w:basedOn w:val="Normal"/>
    <w:link w:val="CommentTextChar"/>
    <w:uiPriority w:val="99"/>
    <w:unhideWhenUsed/>
    <w:rsid w:val="00BA0F28"/>
    <w:pPr>
      <w:spacing w:line="240" w:lineRule="auto"/>
    </w:pPr>
    <w:rPr>
      <w:sz w:val="20"/>
      <w:szCs w:val="20"/>
    </w:rPr>
  </w:style>
  <w:style w:type="character" w:customStyle="1" w:styleId="CommentTextChar">
    <w:name w:val="Comment Text Char"/>
    <w:basedOn w:val="DefaultParagraphFont"/>
    <w:link w:val="CommentText"/>
    <w:uiPriority w:val="99"/>
    <w:rsid w:val="00BA0F28"/>
    <w:rPr>
      <w:sz w:val="20"/>
      <w:szCs w:val="20"/>
    </w:rPr>
  </w:style>
  <w:style w:type="paragraph" w:styleId="CommentSubject">
    <w:name w:val="annotation subject"/>
    <w:basedOn w:val="CommentText"/>
    <w:next w:val="CommentText"/>
    <w:link w:val="CommentSubjectChar"/>
    <w:uiPriority w:val="99"/>
    <w:semiHidden/>
    <w:unhideWhenUsed/>
    <w:rsid w:val="00BA0F28"/>
    <w:rPr>
      <w:b/>
      <w:bCs/>
    </w:rPr>
  </w:style>
  <w:style w:type="character" w:customStyle="1" w:styleId="CommentSubjectChar">
    <w:name w:val="Comment Subject Char"/>
    <w:basedOn w:val="CommentTextChar"/>
    <w:link w:val="CommentSubject"/>
    <w:uiPriority w:val="99"/>
    <w:semiHidden/>
    <w:rsid w:val="00BA0F28"/>
    <w:rPr>
      <w:b/>
      <w:bCs/>
      <w:sz w:val="20"/>
      <w:szCs w:val="20"/>
    </w:rPr>
  </w:style>
  <w:style w:type="paragraph" w:styleId="BalloonText">
    <w:name w:val="Balloon Text"/>
    <w:basedOn w:val="Normal"/>
    <w:link w:val="BalloonTextChar"/>
    <w:uiPriority w:val="99"/>
    <w:semiHidden/>
    <w:unhideWhenUsed/>
    <w:rsid w:val="00BA0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28"/>
    <w:rPr>
      <w:rFonts w:ascii="Tahoma" w:hAnsi="Tahoma" w:cs="Tahoma"/>
      <w:sz w:val="16"/>
      <w:szCs w:val="16"/>
    </w:rPr>
  </w:style>
  <w:style w:type="character" w:styleId="Hyperlink">
    <w:name w:val="Hyperlink"/>
    <w:basedOn w:val="DefaultParagraphFont"/>
    <w:uiPriority w:val="99"/>
    <w:semiHidden/>
    <w:unhideWhenUsed/>
    <w:rsid w:val="00A25821"/>
    <w:rPr>
      <w:color w:val="0000FF" w:themeColor="hyperlink"/>
      <w:u w:val="single"/>
    </w:rPr>
  </w:style>
  <w:style w:type="paragraph" w:styleId="Title">
    <w:name w:val="Title"/>
    <w:basedOn w:val="Normal"/>
    <w:next w:val="Normal"/>
    <w:link w:val="TitleChar"/>
    <w:uiPriority w:val="10"/>
    <w:qFormat/>
    <w:rsid w:val="00E17C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7C66"/>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E17C66"/>
    <w:rPr>
      <w:color w:val="800080" w:themeColor="followedHyperlink"/>
      <w:u w:val="single"/>
    </w:rPr>
  </w:style>
  <w:style w:type="paragraph" w:styleId="NormalWeb">
    <w:name w:val="Normal (Web)"/>
    <w:basedOn w:val="Normal"/>
    <w:uiPriority w:val="99"/>
    <w:unhideWhenUsed/>
    <w:rsid w:val="008C3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C3AB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77AAC"/>
    <w:pPr>
      <w:spacing w:after="0" w:line="240" w:lineRule="auto"/>
    </w:pPr>
  </w:style>
  <w:style w:type="character" w:customStyle="1" w:styleId="Heading1Char">
    <w:name w:val="Heading 1 Char"/>
    <w:basedOn w:val="DefaultParagraphFont"/>
    <w:link w:val="Heading1"/>
    <w:uiPriority w:val="9"/>
    <w:rsid w:val="00077A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7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mu.edu/teaching/assessment/howto/basics/objectives.htm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B408628C93F4AB3349333204249E5" ma:contentTypeVersion="10" ma:contentTypeDescription="Create a new document." ma:contentTypeScope="" ma:versionID="730d9200075f451d96eb8265dd687a8d">
  <xsd:schema xmlns:xsd="http://www.w3.org/2001/XMLSchema" xmlns:xs="http://www.w3.org/2001/XMLSchema" xmlns:p="http://schemas.microsoft.com/office/2006/metadata/properties" xmlns:ns3="cd26764b-58be-4fe8-b6b2-fcc6b72380cd" targetNamespace="http://schemas.microsoft.com/office/2006/metadata/properties" ma:root="true" ma:fieldsID="93b8075c13ba15870a093c99055b7284" ns3:_="">
    <xsd:import namespace="cd26764b-58be-4fe8-b6b2-fcc6b72380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6764b-58be-4fe8-b6b2-fcc6b7238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F4874-410B-46E0-BD09-90B366C7E5C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d26764b-58be-4fe8-b6b2-fcc6b72380cd"/>
    <ds:schemaRef ds:uri="http://www.w3.org/XML/1998/namespace"/>
    <ds:schemaRef ds:uri="http://purl.org/dc/dcmitype/"/>
  </ds:schemaRefs>
</ds:datastoreItem>
</file>

<file path=customXml/itemProps2.xml><?xml version="1.0" encoding="utf-8"?>
<ds:datastoreItem xmlns:ds="http://schemas.openxmlformats.org/officeDocument/2006/customXml" ds:itemID="{082092D8-EEE4-4A95-9F85-2F6C4DE8ED21}">
  <ds:schemaRefs>
    <ds:schemaRef ds:uri="http://schemas.microsoft.com/sharepoint/v3/contenttype/forms"/>
  </ds:schemaRefs>
</ds:datastoreItem>
</file>

<file path=customXml/itemProps3.xml><?xml version="1.0" encoding="utf-8"?>
<ds:datastoreItem xmlns:ds="http://schemas.openxmlformats.org/officeDocument/2006/customXml" ds:itemID="{00EFA97E-FC1A-4433-A1E0-417013460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26764b-58be-4fe8-b6b2-fcc6b7238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AHIMA</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John Richey</cp:lastModifiedBy>
  <cp:revision>16</cp:revision>
  <dcterms:created xsi:type="dcterms:W3CDTF">2020-05-23T18:53:00Z</dcterms:created>
  <dcterms:modified xsi:type="dcterms:W3CDTF">2020-05-23T19:09:00Z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0x010100F9BB408628C93F4AB3349333204249E5</vt:lpwstr>
  </property>
</Properties>
</file>